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25742" w14:textId="52BD6A43" w:rsidR="00537EE3" w:rsidRPr="00537EE3" w:rsidRDefault="00537EE3" w:rsidP="00537EE3">
      <w:pPr>
        <w:rPr>
          <w:b/>
          <w:bCs/>
        </w:rPr>
      </w:pPr>
      <w:r w:rsidRPr="00537EE3">
        <w:rPr>
          <w:b/>
          <w:bCs/>
        </w:rPr>
        <w:t>The Corporate Veil of Apathy: The Limited Liability Company as a Creator of Moral Distance, Nullifying Proximate Fairness</w:t>
      </w:r>
    </w:p>
    <w:p w14:paraId="246A57B2" w14:textId="40361658" w:rsidR="00537EE3" w:rsidRPr="00537EE3" w:rsidRDefault="00537EE3" w:rsidP="00537EE3">
      <w:pPr>
        <w:rPr>
          <w:b/>
          <w:bCs/>
        </w:rPr>
      </w:pPr>
      <w:r w:rsidRPr="00537EE3">
        <w:rPr>
          <w:b/>
          <w:bCs/>
        </w:rPr>
        <w:t>Abstract</w:t>
      </w:r>
    </w:p>
    <w:p w14:paraId="1EB2FD8A" w14:textId="155C2344" w:rsidR="00537EE3" w:rsidRPr="00537EE3" w:rsidRDefault="00537EE3" w:rsidP="00537EE3">
      <w:r w:rsidRPr="00537EE3">
        <w:t xml:space="preserve">The </w:t>
      </w:r>
      <w:r w:rsidRPr="00537EE3">
        <w:rPr>
          <w:b/>
          <w:bCs/>
        </w:rPr>
        <w:t>Limited Liability Company (LLC)</w:t>
      </w:r>
      <w:r w:rsidRPr="00537EE3">
        <w:t xml:space="preserve">, while the engine of international trade, creates a fundamental </w:t>
      </w:r>
      <w:r w:rsidRPr="00537EE3">
        <w:rPr>
          <w:b/>
          <w:bCs/>
        </w:rPr>
        <w:t>Moral Distance</w:t>
      </w:r>
      <w:r w:rsidRPr="00537EE3">
        <w:t xml:space="preserve"> that allows its agents (directors and employees) to circumvent innate </w:t>
      </w:r>
      <w:r w:rsidRPr="00537EE3">
        <w:t>behavioural</w:t>
      </w:r>
      <w:r w:rsidRPr="00537EE3">
        <w:t xml:space="preserve"> constraints on fairness. This paper advances the hypothesis that the legal personhood of the company acts as a </w:t>
      </w:r>
      <w:r w:rsidRPr="00537EE3">
        <w:rPr>
          <w:b/>
          <w:bCs/>
        </w:rPr>
        <w:t>cognitive shield</w:t>
      </w:r>
      <w:r w:rsidRPr="00537EE3">
        <w:t xml:space="preserve">, </w:t>
      </w:r>
      <w:r w:rsidRPr="00537EE3">
        <w:rPr>
          <w:b/>
          <w:bCs/>
        </w:rPr>
        <w:t>nullifying the Proximate Fairness</w:t>
      </w:r>
      <w:r w:rsidRPr="00537EE3">
        <w:t xml:space="preserve"> mechanism (rooted in reciprocal altruism) that normally enforces ethical conduct in small groups. Motivated by the </w:t>
      </w:r>
      <w:r w:rsidRPr="00537EE3">
        <w:rPr>
          <w:b/>
          <w:bCs/>
        </w:rPr>
        <w:t>Efficiency Imperative</w:t>
      </w:r>
      <w:r w:rsidRPr="00537EE3">
        <w:t xml:space="preserve"> (personal utility maximisation), corporate agents are shielded from the personal, reputational sanctions that usually accompany unfair </w:t>
      </w:r>
      <w:r w:rsidRPr="00537EE3">
        <w:t>behaviour</w:t>
      </w:r>
      <w:r w:rsidRPr="00537EE3">
        <w:t>, as the responsibility is legally absorbed by the distant corporate entity. We argue that existing directors' duties (e.g., UK C</w:t>
      </w:r>
      <w:r w:rsidR="003775F3">
        <w:t xml:space="preserve">ompanies </w:t>
      </w:r>
      <w:r w:rsidRPr="00537EE3">
        <w:t>A</w:t>
      </w:r>
      <w:r w:rsidR="003775F3">
        <w:t>ct</w:t>
      </w:r>
      <w:r w:rsidRPr="00537EE3">
        <w:t xml:space="preserve"> 2006, s.172) are insufficient to counter this effect. To address the moral hazard without compromising the financial benefits of limited liability for investors, we propose amending company law to introduce a </w:t>
      </w:r>
      <w:r w:rsidRPr="00537EE3">
        <w:rPr>
          <w:b/>
          <w:bCs/>
        </w:rPr>
        <w:t>Personal Duty of Proximate Fairness</w:t>
      </w:r>
      <w:r w:rsidRPr="00537EE3">
        <w:t xml:space="preserve"> for directors and senior managers, backed by </w:t>
      </w:r>
      <w:r w:rsidRPr="00537EE3">
        <w:rPr>
          <w:b/>
          <w:bCs/>
        </w:rPr>
        <w:t>non-financial, reputational sanctions</w:t>
      </w:r>
      <w:r w:rsidRPr="00537EE3">
        <w:t xml:space="preserve"> (e.g., public censure and temporary disqualification) designed to re-impose the evolutionary constraint of social accountability.</w:t>
      </w:r>
    </w:p>
    <w:p w14:paraId="706E8CA3" w14:textId="77777777" w:rsidR="00537EE3" w:rsidRPr="00537EE3" w:rsidRDefault="00537EE3" w:rsidP="00537EE3">
      <w:pPr>
        <w:rPr>
          <w:b/>
          <w:bCs/>
        </w:rPr>
      </w:pPr>
      <w:r w:rsidRPr="00537EE3">
        <w:rPr>
          <w:b/>
          <w:bCs/>
        </w:rPr>
        <w:t>1. Introduction: The Mismatch between Law and Mind</w:t>
      </w:r>
    </w:p>
    <w:p w14:paraId="5C1649CA" w14:textId="77777777" w:rsidR="00537EE3" w:rsidRPr="00537EE3" w:rsidRDefault="00537EE3" w:rsidP="00537EE3">
      <w:r w:rsidRPr="00537EE3">
        <w:t xml:space="preserve">The invention of the Limited Liability Company (LLC) is widely regarded as the most powerful legal innovation for fostering capital formation and international trade. By protecting the personal assets of investors, limited liability encourages necessary risk-taking and capital mobilization (Source 1.2). However, this indispensable legal structure carries a profound, unintended consequence: it creates a </w:t>
      </w:r>
      <w:r w:rsidRPr="00537EE3">
        <w:rPr>
          <w:b/>
          <w:bCs/>
        </w:rPr>
        <w:t>Moral Distance</w:t>
      </w:r>
      <w:r w:rsidRPr="00537EE3">
        <w:t xml:space="preserve"> between the actions of the corporate entity and the natural moral constraints of the human agents who direct it.</w:t>
      </w:r>
    </w:p>
    <w:p w14:paraId="5E19BEE5" w14:textId="206D9F2D" w:rsidR="00537EE3" w:rsidRPr="00537EE3" w:rsidRDefault="00537EE3" w:rsidP="00537EE3">
      <w:r w:rsidRPr="00537EE3">
        <w:t xml:space="preserve">This paper proposes the </w:t>
      </w:r>
      <w:r w:rsidRPr="00537EE3">
        <w:rPr>
          <w:b/>
          <w:bCs/>
        </w:rPr>
        <w:t>Corporate Veil of Apathy Hypothesis</w:t>
      </w:r>
      <w:r w:rsidRPr="00537EE3">
        <w:t xml:space="preserve">: the legal fiction of corporate personhood and the resulting diffusion of responsibility structurally nullify the evolutionary mechanism of </w:t>
      </w:r>
      <w:r w:rsidRPr="00537EE3">
        <w:rPr>
          <w:b/>
          <w:bCs/>
        </w:rPr>
        <w:t>Proximate Fairness</w:t>
      </w:r>
      <w:r w:rsidRPr="00537EE3">
        <w:t xml:space="preserve">. In the absence of immediate, personal accountability for unfair </w:t>
      </w:r>
      <w:r w:rsidRPr="00537EE3">
        <w:t>behaviour</w:t>
      </w:r>
      <w:r w:rsidRPr="00537EE3">
        <w:t xml:space="preserve">, the corporate agent defaults to </w:t>
      </w:r>
      <w:r w:rsidR="008C1E13">
        <w:t>maximising</w:t>
      </w:r>
      <w:r w:rsidRPr="00537EE3">
        <w:t xml:space="preserve"> personal utility, a drive rooted in the </w:t>
      </w:r>
      <w:r w:rsidRPr="00537EE3">
        <w:rPr>
          <w:b/>
          <w:bCs/>
        </w:rPr>
        <w:t>Efficiency Imperative</w:t>
      </w:r>
      <w:r w:rsidRPr="00537EE3">
        <w:t xml:space="preserve"> (Source 1.4). The resulting moral hazard is one where the pursuit of corporate success is prioritized at the expense of fairness toward customers and stakeholders because the human agent is cognitively and legally protected from the social cost.</w:t>
      </w:r>
    </w:p>
    <w:p w14:paraId="1CBD4257" w14:textId="17890C82" w:rsidR="00537EE3" w:rsidRPr="00537EE3" w:rsidRDefault="00537EE3" w:rsidP="00537EE3">
      <w:r w:rsidRPr="00537EE3">
        <w:t xml:space="preserve">The analysis proceeds by first establishing the cognitive foundation of fairness, then dissecting how the LLC structure creates moral distance, before culminating in concrete proposals for company law reform (specifically addressing the UK Companies Act 2006, Section 172) designed to impose a new personal, non-financial accountability on corporate agents, thereby re-establishing the </w:t>
      </w:r>
      <w:r w:rsidRPr="00537EE3">
        <w:t>behavioural</w:t>
      </w:r>
      <w:r w:rsidRPr="00537EE3">
        <w:t xml:space="preserve"> constraint of Proximate Fairness.</w:t>
      </w:r>
    </w:p>
    <w:p w14:paraId="6E208DCF" w14:textId="77777777" w:rsidR="003C4FB8" w:rsidRDefault="003C4FB8">
      <w:pPr>
        <w:rPr>
          <w:b/>
          <w:bCs/>
        </w:rPr>
      </w:pPr>
      <w:r>
        <w:rPr>
          <w:b/>
          <w:bCs/>
        </w:rPr>
        <w:br w:type="page"/>
      </w:r>
    </w:p>
    <w:p w14:paraId="521480E6" w14:textId="26ED0689" w:rsidR="00537EE3" w:rsidRPr="00537EE3" w:rsidRDefault="00537EE3" w:rsidP="00537EE3">
      <w:pPr>
        <w:rPr>
          <w:b/>
          <w:bCs/>
        </w:rPr>
      </w:pPr>
      <w:r w:rsidRPr="00537EE3">
        <w:rPr>
          <w:b/>
          <w:bCs/>
        </w:rPr>
        <w:lastRenderedPageBreak/>
        <w:t>2. The Cognitive Foundation: Proximate Fairness and the Efficiency Imperative</w:t>
      </w:r>
    </w:p>
    <w:p w14:paraId="77A1CF98" w14:textId="77777777" w:rsidR="00537EE3" w:rsidRPr="00537EE3" w:rsidRDefault="00537EE3" w:rsidP="00537EE3">
      <w:pPr>
        <w:rPr>
          <w:b/>
          <w:bCs/>
        </w:rPr>
      </w:pPr>
      <w:r w:rsidRPr="00537EE3">
        <w:rPr>
          <w:b/>
          <w:bCs/>
        </w:rPr>
        <w:t>2.1. Reciprocity and the Constraint of Proximate Fairness</w:t>
      </w:r>
    </w:p>
    <w:p w14:paraId="15A5E478" w14:textId="41ACD3DB" w:rsidR="00537EE3" w:rsidRPr="00537EE3" w:rsidRDefault="00537EE3" w:rsidP="00537EE3">
      <w:r w:rsidRPr="00537EE3">
        <w:t xml:space="preserve">Human social behaviour, particularly regarding cooperation, is deeply constrained by the principle of </w:t>
      </w:r>
      <w:r w:rsidRPr="00537EE3">
        <w:rPr>
          <w:b/>
          <w:bCs/>
        </w:rPr>
        <w:t>Reciprocal Altruism</w:t>
      </w:r>
      <w:r w:rsidRPr="00537EE3">
        <w:t xml:space="preserve"> (Trivers, 1971). This evolutionary mechanism mandates that acts of benefit must be reciprocated, and unfair behaviour</w:t>
      </w:r>
      <w:r w:rsidR="003C4FB8">
        <w:t xml:space="preserve"> </w:t>
      </w:r>
      <w:r w:rsidRPr="00537EE3">
        <w:t>—</w:t>
      </w:r>
      <w:r w:rsidR="003C4FB8">
        <w:t xml:space="preserve"> </w:t>
      </w:r>
      <w:r w:rsidRPr="00537EE3">
        <w:t>or "cheating"</w:t>
      </w:r>
      <w:r w:rsidR="003C4FB8">
        <w:t xml:space="preserve"> </w:t>
      </w:r>
      <w:r w:rsidRPr="00537EE3">
        <w:t>—</w:t>
      </w:r>
      <w:r w:rsidR="003C4FB8">
        <w:t xml:space="preserve"> </w:t>
      </w:r>
      <w:r w:rsidRPr="00537EE3">
        <w:t xml:space="preserve">must be detected and sanctioned. This mechanism is most effective as </w:t>
      </w:r>
      <w:r w:rsidRPr="00537EE3">
        <w:rPr>
          <w:b/>
          <w:bCs/>
        </w:rPr>
        <w:t>Proximate Fairness</w:t>
      </w:r>
      <w:r w:rsidRPr="00537EE3">
        <w:t>, enforced by immediate, monitorable social consequences, such as loss of reputation, social censure, or exclusion from the group. The emotional and social pain of being labelled a "cheat" or "unfair" in a proximate setting acts as the primary deterrent against selfish behaviour.</w:t>
      </w:r>
    </w:p>
    <w:p w14:paraId="183A98F4" w14:textId="77777777" w:rsidR="00537EE3" w:rsidRPr="00537EE3" w:rsidRDefault="00537EE3" w:rsidP="00537EE3">
      <w:pPr>
        <w:rPr>
          <w:b/>
          <w:bCs/>
        </w:rPr>
      </w:pPr>
      <w:r w:rsidRPr="00537EE3">
        <w:rPr>
          <w:b/>
          <w:bCs/>
        </w:rPr>
        <w:t>2.2. The Efficiency Imperative in Corporate Agency</w:t>
      </w:r>
    </w:p>
    <w:p w14:paraId="1B0A7573" w14:textId="5DFAE055" w:rsidR="00537EE3" w:rsidRPr="00537EE3" w:rsidRDefault="00537EE3" w:rsidP="00537EE3">
      <w:r w:rsidRPr="00537EE3">
        <w:t xml:space="preserve">Working against this social constraint is the </w:t>
      </w:r>
      <w:r w:rsidRPr="00537EE3">
        <w:rPr>
          <w:b/>
          <w:bCs/>
        </w:rPr>
        <w:t>Efficiency Imperative</w:t>
      </w:r>
      <w:r w:rsidRPr="00537EE3">
        <w:t xml:space="preserve">: the innate drive toward </w:t>
      </w:r>
      <w:r w:rsidR="008C1E13">
        <w:t>maximising</w:t>
      </w:r>
      <w:r w:rsidRPr="00537EE3">
        <w:t xml:space="preserve"> individual utility </w:t>
      </w:r>
      <w:r w:rsidR="008C1E13">
        <w:t>(</w:t>
      </w:r>
      <w:r w:rsidRPr="00537EE3">
        <w:t>Max-Out</w:t>
      </w:r>
      <w:r w:rsidR="008C1E13">
        <w:t>put</w:t>
      </w:r>
      <w:r w:rsidRPr="00537EE3">
        <w:t>/Min-Input). In the corporate context, the human agent (director, senior manager) translates this imperative into career advancement, bonuses, and maximi</w:t>
      </w:r>
      <w:r w:rsidR="008C1E13">
        <w:t>s</w:t>
      </w:r>
      <w:r w:rsidRPr="00537EE3">
        <w:t>ing the profit metrics tied to their success. This pursuit is inherently selfish, yet often structurally sanctioned by the corporate goals. The conflict arises when the agent’s personal efficiency (e.g., cutting corners to hit a profit target) conflicts with the fair treatment of a stakeholder.</w:t>
      </w:r>
    </w:p>
    <w:p w14:paraId="7B488814" w14:textId="77777777" w:rsidR="00537EE3" w:rsidRPr="00537EE3" w:rsidRDefault="00537EE3" w:rsidP="00537EE3">
      <w:pPr>
        <w:rPr>
          <w:b/>
          <w:bCs/>
        </w:rPr>
      </w:pPr>
      <w:r w:rsidRPr="00537EE3">
        <w:rPr>
          <w:b/>
          <w:bCs/>
        </w:rPr>
        <w:t>2.3. The Structural Bypass</w:t>
      </w:r>
    </w:p>
    <w:p w14:paraId="28995629" w14:textId="77777777" w:rsidR="00537EE3" w:rsidRPr="00537EE3" w:rsidRDefault="00537EE3" w:rsidP="00537EE3">
      <w:r w:rsidRPr="00537EE3">
        <w:t xml:space="preserve">In the absence of a large, complex corporate structure, a decision that harms a customer immediately damages the reputation of the individual provider, triggering the constraint of </w:t>
      </w:r>
      <w:r w:rsidRPr="00537EE3">
        <w:rPr>
          <w:b/>
          <w:bCs/>
        </w:rPr>
        <w:t>Proximate Fairness</w:t>
      </w:r>
      <w:r w:rsidRPr="00537EE3">
        <w:t xml:space="preserve">. The LLC structure, however, interposes the corporate entity as a legal buffer. The </w:t>
      </w:r>
      <w:r w:rsidRPr="00537EE3">
        <w:rPr>
          <w:b/>
          <w:bCs/>
        </w:rPr>
        <w:t>Moral Distance</w:t>
      </w:r>
      <w:r w:rsidRPr="00537EE3">
        <w:t xml:space="preserve"> created means the agent's decision is separated from the consequence by layers of bureaucracy and legal insulation (Source 4.2). The resulting harm is legally absorbed by the distant corporate entity, bypassing the individual agent's personal reputation and allowing the </w:t>
      </w:r>
      <w:r w:rsidRPr="00537EE3">
        <w:rPr>
          <w:b/>
          <w:bCs/>
        </w:rPr>
        <w:t>Efficiency Imperative</w:t>
      </w:r>
      <w:r w:rsidRPr="00537EE3">
        <w:t xml:space="preserve"> to operate largely unchecked by social sanction.</w:t>
      </w:r>
    </w:p>
    <w:p w14:paraId="00A8D55B" w14:textId="77777777" w:rsidR="00537EE3" w:rsidRPr="00537EE3" w:rsidRDefault="00537EE3" w:rsidP="00537EE3">
      <w:pPr>
        <w:rPr>
          <w:b/>
          <w:bCs/>
        </w:rPr>
      </w:pPr>
      <w:r w:rsidRPr="00537EE3">
        <w:rPr>
          <w:b/>
          <w:bCs/>
        </w:rPr>
        <w:t>3. The Mechanics of Moral Distance in the LLC Structure</w:t>
      </w:r>
    </w:p>
    <w:p w14:paraId="680DA21A" w14:textId="77777777" w:rsidR="00537EE3" w:rsidRPr="00537EE3" w:rsidRDefault="00537EE3" w:rsidP="00537EE3">
      <w:r w:rsidRPr="00537EE3">
        <w:t>This section details how the structural and legal frameworks of the LLC actively create the cognitive environment necessary for the nullification of Proximate Fairness.</w:t>
      </w:r>
    </w:p>
    <w:p w14:paraId="6E10B96D" w14:textId="77777777" w:rsidR="00537EE3" w:rsidRPr="00537EE3" w:rsidRDefault="00537EE3" w:rsidP="00537EE3">
      <w:pPr>
        <w:rPr>
          <w:b/>
          <w:bCs/>
        </w:rPr>
      </w:pPr>
      <w:r w:rsidRPr="00537EE3">
        <w:rPr>
          <w:b/>
          <w:bCs/>
        </w:rPr>
        <w:t>3.1. Legal Personhood and Diffusion of Responsibility</w:t>
      </w:r>
    </w:p>
    <w:p w14:paraId="12A68B2D" w14:textId="77777777" w:rsidR="00537EE3" w:rsidRPr="00537EE3" w:rsidRDefault="00537EE3" w:rsidP="00537EE3">
      <w:r w:rsidRPr="00537EE3">
        <w:t xml:space="preserve">The most direct mechanism for creating moral distance is the doctrine of </w:t>
      </w:r>
      <w:r w:rsidRPr="00537EE3">
        <w:rPr>
          <w:b/>
          <w:bCs/>
        </w:rPr>
        <w:t>Corporate Personhood</w:t>
      </w:r>
      <w:r w:rsidRPr="00537EE3">
        <w:t xml:space="preserve"> (Source 5.1). The company is the legal actor, rendering the human director's action legally secondary to the corporate decision. This allows directors and senior employees to mentally offload the moral burden. Furthermore, corporate complexity (Source 4.2) results in the </w:t>
      </w:r>
      <w:r w:rsidRPr="00537EE3">
        <w:rPr>
          <w:b/>
          <w:bCs/>
        </w:rPr>
        <w:t>Diffusion of Responsibility</w:t>
      </w:r>
      <w:r w:rsidRPr="00537EE3">
        <w:t>, where unethical outcomes arise from a complex chain of decisions, ensuring that no single individual feels full, personal accountability for the resulting unfairness. This mirrors the cognitive failure observed in bystander apathy.</w:t>
      </w:r>
    </w:p>
    <w:p w14:paraId="1A360B80" w14:textId="77777777" w:rsidR="00537EE3" w:rsidRPr="00537EE3" w:rsidRDefault="00537EE3" w:rsidP="00537EE3">
      <w:pPr>
        <w:rPr>
          <w:b/>
          <w:bCs/>
        </w:rPr>
      </w:pPr>
      <w:r w:rsidRPr="00537EE3">
        <w:rPr>
          <w:b/>
          <w:bCs/>
        </w:rPr>
        <w:lastRenderedPageBreak/>
        <w:t>3.2. Legal Prioritization and Moral Hazard</w:t>
      </w:r>
    </w:p>
    <w:p w14:paraId="2663F249" w14:textId="77777777" w:rsidR="00537EE3" w:rsidRPr="00537EE3" w:rsidRDefault="00537EE3" w:rsidP="00537EE3">
      <w:r w:rsidRPr="00537EE3">
        <w:t xml:space="preserve">Current directors' duties, such as Section 172 of the UK Companies Act 2006, require directors to "promote the success of the company for the benefit of its members," only requiring them to "have regard" to stakeholder interests (UK Parliament, 2006). This legal prioritisation of </w:t>
      </w:r>
      <w:r w:rsidRPr="00537EE3">
        <w:rPr>
          <w:b/>
          <w:bCs/>
        </w:rPr>
        <w:t>Shareholder Value</w:t>
      </w:r>
      <w:r w:rsidRPr="00537EE3">
        <w:t xml:space="preserve"> reinforces the selfish </w:t>
      </w:r>
      <w:r w:rsidRPr="00537EE3">
        <w:rPr>
          <w:b/>
          <w:bCs/>
        </w:rPr>
        <w:t>Efficiency Imperative</w:t>
      </w:r>
      <w:r w:rsidRPr="00537EE3">
        <w:t xml:space="preserve"> of the agent. The legal system licenses the agent to ethically fail stakeholders if it can be argued that the failure served the </w:t>
      </w:r>
      <w:r w:rsidRPr="00537EE3">
        <w:rPr>
          <w:i/>
          <w:iCs/>
        </w:rPr>
        <w:t>ultimate</w:t>
      </w:r>
      <w:r w:rsidRPr="00537EE3">
        <w:t xml:space="preserve"> goal of profit maximization (Source 1.1, 1.2). This structural condition generates a </w:t>
      </w:r>
      <w:r w:rsidRPr="00537EE3">
        <w:rPr>
          <w:b/>
          <w:bCs/>
        </w:rPr>
        <w:t>moral hazard</w:t>
      </w:r>
      <w:r w:rsidRPr="00537EE3">
        <w:t xml:space="preserve"> where the company externalizes the moral risk, while the agent gains the financial reward (Source 4.3).</w:t>
      </w:r>
    </w:p>
    <w:p w14:paraId="75684FE7" w14:textId="77777777" w:rsidR="00537EE3" w:rsidRPr="00537EE3" w:rsidRDefault="00537EE3" w:rsidP="00537EE3">
      <w:pPr>
        <w:rPr>
          <w:b/>
          <w:bCs/>
        </w:rPr>
      </w:pPr>
      <w:r w:rsidRPr="00537EE3">
        <w:rPr>
          <w:b/>
          <w:bCs/>
        </w:rPr>
        <w:t>4. Current Legal Gaps and Proposed Reforms</w:t>
      </w:r>
    </w:p>
    <w:p w14:paraId="3DCE4F53" w14:textId="77777777" w:rsidR="00537EE3" w:rsidRPr="00537EE3" w:rsidRDefault="00537EE3" w:rsidP="00537EE3">
      <w:r w:rsidRPr="00537EE3">
        <w:t xml:space="preserve">Current mechanisms for holding directors personally liable are narrow, typically only covering fraud, insolvency (Insolvency Act 1986, s. 214), or specific statutory breaches (Source 3.2). These mechanisms fail to capture systematic, subtle breaches of fairness—such as ethically dubious pricing or manipulation—that erode public trust but remain technically legal. To solve this, we must impose accountability that targets the agent's </w:t>
      </w:r>
      <w:r w:rsidRPr="00537EE3">
        <w:rPr>
          <w:i/>
          <w:iCs/>
        </w:rPr>
        <w:t>social currency</w:t>
      </w:r>
      <w:r w:rsidRPr="00537EE3">
        <w:t xml:space="preserve"> rather than their </w:t>
      </w:r>
      <w:r w:rsidRPr="00537EE3">
        <w:rPr>
          <w:i/>
          <w:iCs/>
        </w:rPr>
        <w:t>financial assets</w:t>
      </w:r>
      <w:r w:rsidRPr="00537EE3">
        <w:t>.</w:t>
      </w:r>
    </w:p>
    <w:p w14:paraId="2EC5E71D" w14:textId="1ECC5378" w:rsidR="00537EE3" w:rsidRPr="00537EE3" w:rsidRDefault="00537EE3" w:rsidP="00537EE3">
      <w:pPr>
        <w:rPr>
          <w:b/>
          <w:bCs/>
        </w:rPr>
      </w:pPr>
      <w:r w:rsidRPr="00537EE3">
        <w:rPr>
          <w:b/>
          <w:bCs/>
        </w:rPr>
        <w:t>4.1. Reframing the Duty to Promote Success (S. 172 Amendment)</w:t>
      </w:r>
    </w:p>
    <w:p w14:paraId="794013B5" w14:textId="55ED46CD" w:rsidR="00537EE3" w:rsidRPr="00537EE3" w:rsidRDefault="00537EE3" w:rsidP="00537EE3">
      <w:r w:rsidRPr="00537EE3">
        <w:t>We propose amending S. 172(1)</w:t>
      </w:r>
      <w:r>
        <w:t xml:space="preserve"> </w:t>
      </w:r>
      <w:r w:rsidRPr="00537EE3">
        <w:t xml:space="preserve">to move the consideration of stakeholders from a mere obligation to </w:t>
      </w:r>
      <w:r w:rsidRPr="00537EE3">
        <w:rPr>
          <w:b/>
          <w:bCs/>
        </w:rPr>
        <w:t>"have regard"</w:t>
      </w:r>
      <w:r w:rsidRPr="00537EE3">
        <w:t xml:space="preserve"> to a mandatory </w:t>
      </w:r>
      <w:r w:rsidRPr="00537EE3">
        <w:rPr>
          <w:b/>
          <w:bCs/>
        </w:rPr>
        <w:t>"Duty of Parity and Proximate Fairness"</w:t>
      </w:r>
      <w:r w:rsidRPr="00537EE3">
        <w:t xml:space="preserve"> in all strategic decisions impacting key stakeholders (customers, employees, and suppliers).</w:t>
      </w:r>
    </w:p>
    <w:tbl>
      <w:tblPr>
        <w:tblW w:w="0" w:type="auto"/>
        <w:tblCellSpacing w:w="15" w:type="dxa"/>
        <w:tblCellMar>
          <w:left w:w="0" w:type="dxa"/>
          <w:right w:w="0" w:type="dxa"/>
        </w:tblCellMar>
        <w:tblLook w:val="04A0" w:firstRow="1" w:lastRow="0" w:firstColumn="1" w:lastColumn="0" w:noHBand="0" w:noVBand="1"/>
      </w:tblPr>
      <w:tblGrid>
        <w:gridCol w:w="2246"/>
        <w:gridCol w:w="6764"/>
      </w:tblGrid>
      <w:tr w:rsidR="00537EE3" w:rsidRPr="00537EE3" w14:paraId="580F443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40EE3B" w14:textId="77777777" w:rsidR="00537EE3" w:rsidRPr="00537EE3" w:rsidRDefault="00537EE3" w:rsidP="00537EE3">
            <w:r w:rsidRPr="00537EE3">
              <w:rPr>
                <w:b/>
                <w:bCs/>
              </w:rPr>
              <w:t>Current Language (S. 172(1))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00216E" w14:textId="77777777" w:rsidR="00537EE3" w:rsidRPr="00537EE3" w:rsidRDefault="00537EE3" w:rsidP="00537EE3">
            <w:r w:rsidRPr="00537EE3">
              <w:rPr>
                <w:b/>
                <w:bCs/>
              </w:rPr>
              <w:t>Proposed Amendment Language</w:t>
            </w:r>
          </w:p>
        </w:tc>
      </w:tr>
      <w:tr w:rsidR="00537EE3" w:rsidRPr="00537EE3" w14:paraId="5EFFEA1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B7CD5D" w14:textId="77777777" w:rsidR="00537EE3" w:rsidRPr="00537EE3" w:rsidRDefault="00537EE3" w:rsidP="00537EE3">
            <w:r w:rsidRPr="00537EE3">
              <w:rPr>
                <w:b/>
                <w:bCs/>
              </w:rPr>
              <w:t>"and in doing so have regard (amongst other matters) to —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4E4028" w14:textId="77777777" w:rsidR="00537EE3" w:rsidRPr="00537EE3" w:rsidRDefault="00537EE3" w:rsidP="00537EE3">
            <w:r w:rsidRPr="00537EE3">
              <w:t xml:space="preserve">**"and in doing so must ensure that all decisions, particularly those impacting stakeholders, demonstrate a commitment to both the company's success and to a measurable standard of </w:t>
            </w:r>
            <w:r w:rsidRPr="00537EE3">
              <w:rPr>
                <w:b/>
                <w:bCs/>
              </w:rPr>
              <w:t>Proximate Fairness</w:t>
            </w:r>
            <w:r w:rsidRPr="00537EE3">
              <w:t xml:space="preserve">, ensuring the director is able to justify their consideration of stakeholders not merely as a means to an end, but as a duty of parity, which must include: </w:t>
            </w:r>
            <w:r w:rsidRPr="00537EE3">
              <w:rPr>
                <w:b/>
                <w:bCs/>
              </w:rPr>
              <w:t>"</w:t>
            </w:r>
          </w:p>
        </w:tc>
      </w:tr>
    </w:tbl>
    <w:p w14:paraId="1AC3561C" w14:textId="77777777" w:rsidR="00537EE3" w:rsidRPr="00537EE3" w:rsidRDefault="00537EE3" w:rsidP="00537EE3">
      <w:pPr>
        <w:numPr>
          <w:ilvl w:val="0"/>
          <w:numId w:val="1"/>
        </w:numPr>
      </w:pPr>
      <w:r w:rsidRPr="00537EE3">
        <w:rPr>
          <w:b/>
          <w:bCs/>
        </w:rPr>
        <w:t>Rationale:</w:t>
      </w:r>
      <w:r w:rsidRPr="00537EE3">
        <w:t xml:space="preserve"> This change shifts the focus to an </w:t>
      </w:r>
      <w:r w:rsidRPr="00537EE3">
        <w:rPr>
          <w:b/>
          <w:bCs/>
        </w:rPr>
        <w:t>outcome-driven</w:t>
      </w:r>
      <w:r w:rsidRPr="00537EE3">
        <w:t xml:space="preserve"> mandate ("was the outcome fair?"), requiring the agent to justify that the diffusion of responsibility did not lead to an unfair result.</w:t>
      </w:r>
    </w:p>
    <w:p w14:paraId="0404CA04" w14:textId="77777777" w:rsidR="005219C4" w:rsidRDefault="005219C4">
      <w:pPr>
        <w:rPr>
          <w:b/>
          <w:bCs/>
        </w:rPr>
      </w:pPr>
      <w:r>
        <w:rPr>
          <w:b/>
          <w:bCs/>
        </w:rPr>
        <w:br w:type="page"/>
      </w:r>
    </w:p>
    <w:p w14:paraId="52CB3208" w14:textId="3CBB99B7" w:rsidR="00537EE3" w:rsidRPr="00537EE3" w:rsidRDefault="00537EE3" w:rsidP="00537EE3">
      <w:pPr>
        <w:rPr>
          <w:b/>
          <w:bCs/>
        </w:rPr>
      </w:pPr>
      <w:r w:rsidRPr="00537EE3">
        <w:rPr>
          <w:b/>
          <w:bCs/>
        </w:rPr>
        <w:lastRenderedPageBreak/>
        <w:t>4.2. Personal, Non-Financial Sanctions for Agents (The New Accountability)</w:t>
      </w:r>
    </w:p>
    <w:p w14:paraId="584B5025" w14:textId="77777777" w:rsidR="00537EE3" w:rsidRPr="00537EE3" w:rsidRDefault="00537EE3" w:rsidP="00537EE3">
      <w:r w:rsidRPr="00537EE3">
        <w:t xml:space="preserve">Enforcement must target the agent's </w:t>
      </w:r>
      <w:r w:rsidRPr="00537EE3">
        <w:rPr>
          <w:b/>
          <w:bCs/>
        </w:rPr>
        <w:t>Reputational Capital</w:t>
      </w:r>
      <w:r w:rsidRPr="00537EE3">
        <w:t xml:space="preserve"> and </w:t>
      </w:r>
      <w:r w:rsidRPr="00537EE3">
        <w:rPr>
          <w:b/>
          <w:bCs/>
        </w:rPr>
        <w:t>Career Utility</w:t>
      </w:r>
      <w:r w:rsidRPr="00537EE3">
        <w:t>, aligning the penalty with the social sanctions of Reciprocal Altruism.</w:t>
      </w:r>
    </w:p>
    <w:p w14:paraId="5C4E8337" w14:textId="77777777" w:rsidR="00537EE3" w:rsidRPr="00537EE3" w:rsidRDefault="00537EE3" w:rsidP="00537EE3">
      <w:pPr>
        <w:numPr>
          <w:ilvl w:val="0"/>
          <w:numId w:val="2"/>
        </w:numPr>
      </w:pPr>
      <w:r w:rsidRPr="00537EE3">
        <w:rPr>
          <w:b/>
          <w:bCs/>
        </w:rPr>
        <w:t>The Fairness Breach Register:</w:t>
      </w:r>
      <w:r w:rsidRPr="00537EE3">
        <w:t xml:space="preserve"> A public, regulated register (separate from the criminal disqualification register) would be created for directors and senior employees found responsible for systematic, proven breaches of Proximate Fairness (e.g., confirmed misleading conduct, unethical supplier contract abuse).</w:t>
      </w:r>
    </w:p>
    <w:p w14:paraId="4B0CC4C6" w14:textId="77777777" w:rsidR="00537EE3" w:rsidRPr="00537EE3" w:rsidRDefault="00537EE3" w:rsidP="00537EE3">
      <w:pPr>
        <w:numPr>
          <w:ilvl w:val="0"/>
          <w:numId w:val="2"/>
        </w:numPr>
      </w:pPr>
      <w:r w:rsidRPr="00537EE3">
        <w:rPr>
          <w:b/>
          <w:bCs/>
        </w:rPr>
        <w:t>Sanctions:</w:t>
      </w:r>
    </w:p>
    <w:p w14:paraId="43E5BA12" w14:textId="77777777" w:rsidR="00537EE3" w:rsidRPr="00537EE3" w:rsidRDefault="00537EE3" w:rsidP="00537EE3">
      <w:pPr>
        <w:numPr>
          <w:ilvl w:val="1"/>
          <w:numId w:val="2"/>
        </w:numPr>
      </w:pPr>
      <w:r w:rsidRPr="00537EE3">
        <w:rPr>
          <w:b/>
          <w:bCs/>
        </w:rPr>
        <w:t>Public Censure and Disclosure:</w:t>
      </w:r>
      <w:r w:rsidRPr="00537EE3">
        <w:t xml:space="preserve"> Publishing the agent's name, company, and the specific finding of the "Fairness Breach." This directly attacks the agent's </w:t>
      </w:r>
      <w:r w:rsidRPr="00537EE3">
        <w:rPr>
          <w:b/>
          <w:bCs/>
        </w:rPr>
        <w:t>Reputation</w:t>
      </w:r>
      <w:r w:rsidRPr="00537EE3">
        <w:t>, re-establishing the social cost.</w:t>
      </w:r>
    </w:p>
    <w:p w14:paraId="5F200BB8" w14:textId="77777777" w:rsidR="00537EE3" w:rsidRPr="00537EE3" w:rsidRDefault="00537EE3" w:rsidP="00537EE3">
      <w:pPr>
        <w:numPr>
          <w:ilvl w:val="1"/>
          <w:numId w:val="2"/>
        </w:numPr>
      </w:pPr>
      <w:r w:rsidRPr="00537EE3">
        <w:rPr>
          <w:b/>
          <w:bCs/>
        </w:rPr>
        <w:t>Temporary Disqualification:</w:t>
      </w:r>
      <w:r w:rsidRPr="00537EE3">
        <w:t xml:space="preserve"> Short-term disqualification (e.g., 6–12 months) from holding a large company fiduciary role. This attacks their </w:t>
      </w:r>
      <w:r w:rsidRPr="00537EE3">
        <w:rPr>
          <w:b/>
          <w:bCs/>
        </w:rPr>
        <w:t>Career Utility</w:t>
      </w:r>
      <w:r w:rsidRPr="00537EE3">
        <w:t xml:space="preserve"> and limits their ability to profit from the corporate structure.</w:t>
      </w:r>
    </w:p>
    <w:p w14:paraId="6B6E811C" w14:textId="77777777" w:rsidR="00537EE3" w:rsidRPr="00537EE3" w:rsidRDefault="00537EE3" w:rsidP="00537EE3">
      <w:r w:rsidRPr="00537EE3">
        <w:t xml:space="preserve">This regime maintains the financial benefits of limited liability for the </w:t>
      </w:r>
      <w:r w:rsidRPr="00537EE3">
        <w:rPr>
          <w:b/>
          <w:bCs/>
        </w:rPr>
        <w:t>investor</w:t>
      </w:r>
      <w:r w:rsidRPr="00537EE3">
        <w:t xml:space="preserve"> while placing an explicit, personal, and professional cost directly on the </w:t>
      </w:r>
      <w:r w:rsidRPr="00537EE3">
        <w:rPr>
          <w:b/>
          <w:bCs/>
        </w:rPr>
        <w:t>agent</w:t>
      </w:r>
      <w:r w:rsidRPr="00537EE3">
        <w:t xml:space="preserve">, shrinking the </w:t>
      </w:r>
      <w:r w:rsidRPr="00537EE3">
        <w:rPr>
          <w:b/>
          <w:bCs/>
        </w:rPr>
        <w:t>Moral Distance</w:t>
      </w:r>
      <w:r w:rsidRPr="00537EE3">
        <w:t xml:space="preserve"> and forcing a conscious consideration of Proximate Fairness.</w:t>
      </w:r>
    </w:p>
    <w:p w14:paraId="2A429902" w14:textId="77777777" w:rsidR="00537EE3" w:rsidRPr="00537EE3" w:rsidRDefault="00537EE3" w:rsidP="00537EE3">
      <w:pPr>
        <w:rPr>
          <w:b/>
          <w:bCs/>
        </w:rPr>
      </w:pPr>
      <w:r w:rsidRPr="00537EE3">
        <w:rPr>
          <w:b/>
          <w:bCs/>
        </w:rPr>
        <w:t>5. Conclusion: Reintegrating Ethics into the Corporate Agent</w:t>
      </w:r>
    </w:p>
    <w:p w14:paraId="57F4A802" w14:textId="77777777" w:rsidR="00537EE3" w:rsidRPr="00537EE3" w:rsidRDefault="00537EE3" w:rsidP="00537EE3">
      <w:r w:rsidRPr="00537EE3">
        <w:t xml:space="preserve">The Limited Liability Company, in its current form, is a structure that enables </w:t>
      </w:r>
      <w:r w:rsidRPr="00537EE3">
        <w:rPr>
          <w:b/>
          <w:bCs/>
        </w:rPr>
        <w:t>Evolutionary Selfishness</w:t>
      </w:r>
      <w:r w:rsidRPr="00537EE3">
        <w:t xml:space="preserve"> by providing a legal loophole that bypasses the natural, deep-seated constraints of </w:t>
      </w:r>
      <w:r w:rsidRPr="00537EE3">
        <w:rPr>
          <w:b/>
          <w:bCs/>
        </w:rPr>
        <w:t>Proximate Fairness</w:t>
      </w:r>
      <w:r w:rsidRPr="00537EE3">
        <w:t xml:space="preserve">. The </w:t>
      </w:r>
      <w:r w:rsidRPr="00537EE3">
        <w:rPr>
          <w:b/>
          <w:bCs/>
        </w:rPr>
        <w:t>Corporate Veil of Apathy</w:t>
      </w:r>
      <w:r w:rsidRPr="00537EE3">
        <w:t xml:space="preserve"> is not an intentional legal design for unethical conduct, but an inevitable cognitive consequence of structural moral distance.</w:t>
      </w:r>
    </w:p>
    <w:p w14:paraId="5FDE3D1A" w14:textId="3DDF6FE5" w:rsidR="00537EE3" w:rsidRPr="00537EE3" w:rsidRDefault="00537EE3" w:rsidP="00537EE3">
      <w:r w:rsidRPr="00537EE3">
        <w:t>The proposed reforms</w:t>
      </w:r>
      <w:r w:rsidR="005219C4">
        <w:t xml:space="preserve"> </w:t>
      </w:r>
      <w:r w:rsidRPr="00537EE3">
        <w:t>—</w:t>
      </w:r>
      <w:r w:rsidR="005219C4">
        <w:t xml:space="preserve"> </w:t>
      </w:r>
      <w:r w:rsidRPr="00537EE3">
        <w:t>amending the Director's Duty to require parity and imposing personal, non-financial sanctions</w:t>
      </w:r>
      <w:r w:rsidR="005219C4">
        <w:t xml:space="preserve"> </w:t>
      </w:r>
      <w:r w:rsidRPr="00537EE3">
        <w:t>—</w:t>
      </w:r>
      <w:r w:rsidR="005219C4">
        <w:t xml:space="preserve"> </w:t>
      </w:r>
      <w:r w:rsidRPr="00537EE3">
        <w:t xml:space="preserve">do not seek to destroy the economic utility of limited liability. Instead, they seek to </w:t>
      </w:r>
      <w:r w:rsidRPr="00537EE3">
        <w:rPr>
          <w:b/>
          <w:bCs/>
        </w:rPr>
        <w:t>reintegrate the human agent</w:t>
      </w:r>
      <w:r w:rsidRPr="00537EE3">
        <w:t xml:space="preserve"> into the social and ethical system from which the corporate structure has insulated them. By imposing a </w:t>
      </w:r>
      <w:r w:rsidRPr="00537EE3">
        <w:rPr>
          <w:b/>
          <w:bCs/>
        </w:rPr>
        <w:t>personal, reputational cost</w:t>
      </w:r>
      <w:r w:rsidRPr="00537EE3">
        <w:t xml:space="preserve"> for corporate unfairness, company law can finally compel the corporate agent to internalize the moral dimension of their actions, aligning the </w:t>
      </w:r>
      <w:r w:rsidRPr="00537EE3">
        <w:rPr>
          <w:b/>
          <w:bCs/>
        </w:rPr>
        <w:t>Efficiency Imperative</w:t>
      </w:r>
      <w:r w:rsidRPr="00537EE3">
        <w:t xml:space="preserve"> with the necessary constraint of human social accountability.</w:t>
      </w:r>
    </w:p>
    <w:p w14:paraId="6BDAE942" w14:textId="77777777" w:rsidR="00537EE3" w:rsidRPr="00537EE3" w:rsidRDefault="00537EE3" w:rsidP="00537EE3">
      <w:r w:rsidRPr="00537EE3">
        <w:pict w14:anchorId="22D7FC55">
          <v:rect id="_x0000_i1073" style="width:0;height:1.5pt" o:hralign="center" o:hrstd="t" o:hrnoshade="t" o:hr="t" fillcolor="gray" stroked="f"/>
        </w:pict>
      </w:r>
    </w:p>
    <w:p w14:paraId="48336883" w14:textId="2443325E" w:rsidR="00537EE3" w:rsidRPr="00537EE3" w:rsidRDefault="00537EE3" w:rsidP="00537EE3">
      <w:pPr>
        <w:rPr>
          <w:b/>
          <w:bCs/>
        </w:rPr>
      </w:pPr>
      <w:r w:rsidRPr="00537EE3">
        <w:rPr>
          <w:b/>
          <w:bCs/>
        </w:rPr>
        <w:t>References (Harvard Style)</w:t>
      </w:r>
    </w:p>
    <w:p w14:paraId="773D33D7" w14:textId="77777777" w:rsidR="00537EE3" w:rsidRPr="00537EE3" w:rsidRDefault="00537EE3" w:rsidP="00537EE3">
      <w:r w:rsidRPr="00537EE3">
        <w:rPr>
          <w:b/>
          <w:bCs/>
        </w:rPr>
        <w:t>Kahneman, D. and Tversky, A. (1979) 'Prospect theory: An analysis of decision under risk',</w:t>
      </w:r>
      <w:r w:rsidRPr="00537EE3">
        <w:t xml:space="preserve"> </w:t>
      </w:r>
      <w:proofErr w:type="spellStart"/>
      <w:r w:rsidRPr="00537EE3">
        <w:rPr>
          <w:i/>
          <w:iCs/>
        </w:rPr>
        <w:t>Econometrica</w:t>
      </w:r>
      <w:proofErr w:type="spellEnd"/>
      <w:r w:rsidRPr="00537EE3">
        <w:t xml:space="preserve">, 47(2), pp. 263–291. (Cited for </w:t>
      </w:r>
      <w:r w:rsidRPr="00537EE3">
        <w:rPr>
          <w:b/>
          <w:bCs/>
        </w:rPr>
        <w:t>Loss Aversion</w:t>
      </w:r>
      <w:r w:rsidRPr="00537EE3">
        <w:t xml:space="preserve"> and Cognitive Biases, foundational to the Efficiency Imperative).</w:t>
      </w:r>
    </w:p>
    <w:p w14:paraId="01FABF89" w14:textId="77777777" w:rsidR="00537EE3" w:rsidRPr="00537EE3" w:rsidRDefault="00537EE3" w:rsidP="00537EE3">
      <w:r w:rsidRPr="00537EE3">
        <w:rPr>
          <w:b/>
          <w:bCs/>
        </w:rPr>
        <w:t>Pyke, G. H., Pulliam, H. R., and Charnov, E. L. (1977) 'Optimal foraging: a selective review of theory and tests',</w:t>
      </w:r>
      <w:r w:rsidRPr="00537EE3">
        <w:t xml:space="preserve"> </w:t>
      </w:r>
      <w:r w:rsidRPr="00537EE3">
        <w:rPr>
          <w:i/>
          <w:iCs/>
        </w:rPr>
        <w:t>The Quarterly Review of Biology</w:t>
      </w:r>
      <w:r w:rsidRPr="00537EE3">
        <w:t xml:space="preserve">, 52(2), pp. 137–154. (Cited for </w:t>
      </w:r>
      <w:r w:rsidRPr="00537EE3">
        <w:rPr>
          <w:b/>
          <w:bCs/>
        </w:rPr>
        <w:t>Optimal Foraging Theory</w:t>
      </w:r>
      <w:r w:rsidRPr="00537EE3">
        <w:t>, foundational to the Efficiency Imperative).</w:t>
      </w:r>
    </w:p>
    <w:p w14:paraId="0B92AB23" w14:textId="77777777" w:rsidR="00537EE3" w:rsidRPr="00537EE3" w:rsidRDefault="00537EE3" w:rsidP="00537EE3">
      <w:r w:rsidRPr="00537EE3">
        <w:rPr>
          <w:b/>
          <w:bCs/>
        </w:rPr>
        <w:lastRenderedPageBreak/>
        <w:t>Trivers, R. L. (1971) 'The evolution of reciprocal altruism',</w:t>
      </w:r>
      <w:r w:rsidRPr="00537EE3">
        <w:t xml:space="preserve"> </w:t>
      </w:r>
      <w:r w:rsidRPr="00537EE3">
        <w:rPr>
          <w:i/>
          <w:iCs/>
        </w:rPr>
        <w:t>The Quarterly Review of Biology</w:t>
      </w:r>
      <w:r w:rsidRPr="00537EE3">
        <w:t xml:space="preserve">, 46(1), pp. 35–57. (Cited for </w:t>
      </w:r>
      <w:r w:rsidRPr="00537EE3">
        <w:rPr>
          <w:b/>
          <w:bCs/>
        </w:rPr>
        <w:t>Reciprocal Altruism</w:t>
      </w:r>
      <w:r w:rsidRPr="00537EE3">
        <w:t>, foundational to Proximate Fairness).</w:t>
      </w:r>
    </w:p>
    <w:p w14:paraId="14BC1252" w14:textId="77777777" w:rsidR="00537EE3" w:rsidRPr="00537EE3" w:rsidRDefault="00537EE3" w:rsidP="00537EE3">
      <w:r w:rsidRPr="00537EE3">
        <w:rPr>
          <w:b/>
          <w:bCs/>
        </w:rPr>
        <w:t xml:space="preserve">UK Parliament (2006) </w:t>
      </w:r>
      <w:r w:rsidRPr="00537EE3">
        <w:rPr>
          <w:b/>
          <w:bCs/>
          <w:i/>
          <w:iCs/>
        </w:rPr>
        <w:t>Companies Act 2006, Section 172</w:t>
      </w:r>
      <w:r w:rsidRPr="00537EE3">
        <w:rPr>
          <w:b/>
          <w:bCs/>
        </w:rPr>
        <w:t>.</w:t>
      </w:r>
      <w:r w:rsidRPr="00537EE3">
        <w:t xml:space="preserve"> Available at: [Insert specific official link if used, otherwise format as statutory instrument].</w:t>
      </w:r>
    </w:p>
    <w:p w14:paraId="0E178B88" w14:textId="77777777" w:rsidR="00537EE3" w:rsidRPr="00537EE3" w:rsidRDefault="00537EE3" w:rsidP="00537EE3">
      <w:r w:rsidRPr="00537EE3">
        <w:rPr>
          <w:b/>
          <w:bCs/>
        </w:rPr>
        <w:t>Additional General Sources (for context and further reading on the debate):</w:t>
      </w:r>
    </w:p>
    <w:p w14:paraId="38508A08" w14:textId="77777777" w:rsidR="00537EE3" w:rsidRPr="00537EE3" w:rsidRDefault="00537EE3" w:rsidP="00537EE3">
      <w:pPr>
        <w:numPr>
          <w:ilvl w:val="0"/>
          <w:numId w:val="3"/>
        </w:numPr>
      </w:pPr>
      <w:r w:rsidRPr="00537EE3">
        <w:rPr>
          <w:b/>
          <w:bCs/>
        </w:rPr>
        <w:t>Source 1.1</w:t>
      </w:r>
      <w:r w:rsidRPr="00537EE3">
        <w:t xml:space="preserve"> (For enlightened shareholder value debate)</w:t>
      </w:r>
    </w:p>
    <w:p w14:paraId="04CC17C9" w14:textId="77777777" w:rsidR="00537EE3" w:rsidRPr="00537EE3" w:rsidRDefault="00537EE3" w:rsidP="00537EE3">
      <w:pPr>
        <w:numPr>
          <w:ilvl w:val="0"/>
          <w:numId w:val="3"/>
        </w:numPr>
      </w:pPr>
      <w:r w:rsidRPr="00537EE3">
        <w:rPr>
          <w:b/>
          <w:bCs/>
        </w:rPr>
        <w:t>Source 1.2</w:t>
      </w:r>
      <w:r w:rsidRPr="00537EE3">
        <w:t xml:space="preserve"> (For importance of LLC)</w:t>
      </w:r>
    </w:p>
    <w:p w14:paraId="24B91EBD" w14:textId="77777777" w:rsidR="00537EE3" w:rsidRPr="00537EE3" w:rsidRDefault="00537EE3" w:rsidP="00537EE3">
      <w:pPr>
        <w:numPr>
          <w:ilvl w:val="0"/>
          <w:numId w:val="3"/>
        </w:numPr>
      </w:pPr>
      <w:r w:rsidRPr="00537EE3">
        <w:rPr>
          <w:b/>
          <w:bCs/>
        </w:rPr>
        <w:t>Source 2.1</w:t>
      </w:r>
      <w:r w:rsidRPr="00537EE3">
        <w:t xml:space="preserve"> (For voluntary codes)</w:t>
      </w:r>
    </w:p>
    <w:p w14:paraId="6CDCEC49" w14:textId="77777777" w:rsidR="00537EE3" w:rsidRPr="00537EE3" w:rsidRDefault="00537EE3" w:rsidP="00537EE3">
      <w:pPr>
        <w:numPr>
          <w:ilvl w:val="0"/>
          <w:numId w:val="3"/>
        </w:numPr>
      </w:pPr>
      <w:r w:rsidRPr="00537EE3">
        <w:rPr>
          <w:b/>
          <w:bCs/>
        </w:rPr>
        <w:t>Source 2.3</w:t>
      </w:r>
      <w:r w:rsidRPr="00537EE3">
        <w:t xml:space="preserve"> (For interpretation of S. 172)</w:t>
      </w:r>
    </w:p>
    <w:p w14:paraId="72618C20" w14:textId="77777777" w:rsidR="00537EE3" w:rsidRPr="00537EE3" w:rsidRDefault="00537EE3" w:rsidP="00537EE3">
      <w:pPr>
        <w:numPr>
          <w:ilvl w:val="0"/>
          <w:numId w:val="3"/>
        </w:numPr>
      </w:pPr>
      <w:r w:rsidRPr="00537EE3">
        <w:rPr>
          <w:b/>
          <w:bCs/>
        </w:rPr>
        <w:t>Source 3.2</w:t>
      </w:r>
      <w:r w:rsidRPr="00537EE3">
        <w:t xml:space="preserve"> (For fiduciary duty debate)</w:t>
      </w:r>
    </w:p>
    <w:p w14:paraId="23499F23" w14:textId="77777777" w:rsidR="00537EE3" w:rsidRPr="00537EE3" w:rsidRDefault="00537EE3" w:rsidP="00537EE3">
      <w:pPr>
        <w:numPr>
          <w:ilvl w:val="0"/>
          <w:numId w:val="3"/>
        </w:numPr>
      </w:pPr>
      <w:r w:rsidRPr="00537EE3">
        <w:rPr>
          <w:b/>
          <w:bCs/>
        </w:rPr>
        <w:t>Source 4.1</w:t>
      </w:r>
      <w:r w:rsidRPr="00537EE3">
        <w:t xml:space="preserve"> (For general moral hazard critique)</w:t>
      </w:r>
    </w:p>
    <w:p w14:paraId="5A6AD0C3" w14:textId="77777777" w:rsidR="00537EE3" w:rsidRPr="00537EE3" w:rsidRDefault="00537EE3" w:rsidP="00537EE3">
      <w:pPr>
        <w:numPr>
          <w:ilvl w:val="0"/>
          <w:numId w:val="3"/>
        </w:numPr>
      </w:pPr>
      <w:r w:rsidRPr="00537EE3">
        <w:rPr>
          <w:b/>
          <w:bCs/>
        </w:rPr>
        <w:t>Source 4.2</w:t>
      </w:r>
      <w:r w:rsidRPr="00537EE3">
        <w:t xml:space="preserve"> (For bureaucratic distance)</w:t>
      </w:r>
    </w:p>
    <w:p w14:paraId="4ED7BAE1" w14:textId="392AFD88" w:rsidR="00537EE3" w:rsidRPr="00537EE3" w:rsidRDefault="00537EE3" w:rsidP="00537EE3">
      <w:pPr>
        <w:numPr>
          <w:ilvl w:val="0"/>
          <w:numId w:val="3"/>
        </w:numPr>
      </w:pPr>
      <w:r w:rsidRPr="00537EE3">
        <w:rPr>
          <w:b/>
          <w:bCs/>
        </w:rPr>
        <w:t>Source 4.3</w:t>
      </w:r>
      <w:r w:rsidRPr="00537EE3">
        <w:t xml:space="preserve"> (For </w:t>
      </w:r>
      <w:r w:rsidRPr="00537EE3">
        <w:t>behavioural</w:t>
      </w:r>
      <w:r w:rsidRPr="00537EE3">
        <w:t xml:space="preserve"> economics on limited liability)</w:t>
      </w:r>
    </w:p>
    <w:p w14:paraId="4529351C" w14:textId="77777777" w:rsidR="00537EE3" w:rsidRPr="00537EE3" w:rsidRDefault="00537EE3" w:rsidP="00537EE3">
      <w:pPr>
        <w:numPr>
          <w:ilvl w:val="0"/>
          <w:numId w:val="3"/>
        </w:numPr>
      </w:pPr>
      <w:r w:rsidRPr="00537EE3">
        <w:rPr>
          <w:b/>
          <w:bCs/>
        </w:rPr>
        <w:t>Source 4.4</w:t>
      </w:r>
      <w:r w:rsidRPr="00537EE3">
        <w:t xml:space="preserve"> (For socialisation of risk)</w:t>
      </w:r>
    </w:p>
    <w:p w14:paraId="58E7582D" w14:textId="77777777" w:rsidR="00537EE3" w:rsidRPr="00537EE3" w:rsidRDefault="00537EE3" w:rsidP="00537EE3">
      <w:pPr>
        <w:numPr>
          <w:ilvl w:val="0"/>
          <w:numId w:val="3"/>
        </w:numPr>
      </w:pPr>
      <w:r w:rsidRPr="00537EE3">
        <w:rPr>
          <w:b/>
          <w:bCs/>
        </w:rPr>
        <w:t>Source 5.1</w:t>
      </w:r>
      <w:r w:rsidRPr="00537EE3">
        <w:t xml:space="preserve"> (For corporate personhood doctrine)</w:t>
      </w:r>
    </w:p>
    <w:p w14:paraId="5A55215B" w14:textId="77777777" w:rsidR="00311276" w:rsidRDefault="00311276"/>
    <w:sectPr w:rsidR="003112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Next LT Pro">
    <w:altName w:val="Avenir Next LT Pro"/>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Nordique Inlin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5D2C"/>
    <w:multiLevelType w:val="multilevel"/>
    <w:tmpl w:val="7B341A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D86EEA"/>
    <w:multiLevelType w:val="multilevel"/>
    <w:tmpl w:val="A62E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4F31C7"/>
    <w:multiLevelType w:val="multilevel"/>
    <w:tmpl w:val="9B62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4776565">
    <w:abstractNumId w:val="1"/>
  </w:num>
  <w:num w:numId="2" w16cid:durableId="1736314201">
    <w:abstractNumId w:val="0"/>
  </w:num>
  <w:num w:numId="3" w16cid:durableId="1372535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EE3"/>
    <w:rsid w:val="001F4EC6"/>
    <w:rsid w:val="002D6E2D"/>
    <w:rsid w:val="00311276"/>
    <w:rsid w:val="003775F3"/>
    <w:rsid w:val="003C4FB8"/>
    <w:rsid w:val="005219C4"/>
    <w:rsid w:val="00537EE3"/>
    <w:rsid w:val="00572AAB"/>
    <w:rsid w:val="005D6CF7"/>
    <w:rsid w:val="00604700"/>
    <w:rsid w:val="0064741A"/>
    <w:rsid w:val="006B6D9C"/>
    <w:rsid w:val="007737C8"/>
    <w:rsid w:val="008C1E13"/>
    <w:rsid w:val="00B35954"/>
    <w:rsid w:val="00D70865"/>
    <w:rsid w:val="00EA30AC"/>
    <w:rsid w:val="00F24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1603"/>
  <w15:chartTrackingRefBased/>
  <w15:docId w15:val="{3BA202D5-6E49-474B-A64F-5CEB5C22E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CF7"/>
    <w:rPr>
      <w:rFonts w:ascii="Aptos Display" w:hAnsi="Aptos Display"/>
      <w:sz w:val="24"/>
      <w:szCs w:val="24"/>
    </w:rPr>
  </w:style>
  <w:style w:type="paragraph" w:styleId="Heading1">
    <w:name w:val="heading 1"/>
    <w:basedOn w:val="Normal"/>
    <w:next w:val="Normal"/>
    <w:link w:val="Heading1Char"/>
    <w:uiPriority w:val="9"/>
    <w:qFormat/>
    <w:rsid w:val="005D6CF7"/>
    <w:pPr>
      <w:keepNext/>
      <w:keepLines/>
      <w:spacing w:before="360" w:after="80"/>
      <w:outlineLvl w:val="0"/>
    </w:pPr>
    <w:rPr>
      <w:rFonts w:eastAsiaTheme="majorEastAsia" w:cstheme="majorBidi"/>
      <w:b/>
      <w:kern w:val="0"/>
      <w:sz w:val="40"/>
      <w:szCs w:val="40"/>
      <w14:ligatures w14:val="none"/>
    </w:rPr>
  </w:style>
  <w:style w:type="paragraph" w:styleId="Heading2">
    <w:name w:val="heading 2"/>
    <w:basedOn w:val="Normal"/>
    <w:next w:val="Normal"/>
    <w:link w:val="Heading2Char"/>
    <w:uiPriority w:val="9"/>
    <w:unhideWhenUsed/>
    <w:qFormat/>
    <w:rsid w:val="005D6CF7"/>
    <w:pPr>
      <w:keepNext/>
      <w:keepLines/>
      <w:spacing w:before="160" w:after="80"/>
      <w:outlineLvl w:val="1"/>
    </w:pPr>
    <w:rPr>
      <w:rFonts w:eastAsiaTheme="majorEastAsia" w:cstheme="majorBidi"/>
      <w:kern w:val="0"/>
      <w:sz w:val="32"/>
      <w:szCs w:val="32"/>
      <w14:ligatures w14:val="none"/>
    </w:rPr>
  </w:style>
  <w:style w:type="paragraph" w:styleId="Heading3">
    <w:name w:val="heading 3"/>
    <w:basedOn w:val="Normal"/>
    <w:next w:val="Normal"/>
    <w:link w:val="Heading3Char"/>
    <w:uiPriority w:val="9"/>
    <w:unhideWhenUsed/>
    <w:qFormat/>
    <w:rsid w:val="005D6CF7"/>
    <w:pPr>
      <w:keepNext/>
      <w:keepLines/>
      <w:spacing w:before="160" w:after="80"/>
      <w:outlineLvl w:val="2"/>
    </w:pPr>
    <w:rPr>
      <w:rFonts w:eastAsiaTheme="majorEastAsia" w:cstheme="majorBidi"/>
      <w:i/>
      <w:kern w:val="0"/>
      <w:sz w:val="28"/>
      <w:szCs w:val="28"/>
      <w14:ligatures w14:val="none"/>
    </w:rPr>
  </w:style>
  <w:style w:type="paragraph" w:styleId="Heading4">
    <w:name w:val="heading 4"/>
    <w:basedOn w:val="Normal"/>
    <w:next w:val="Normal"/>
    <w:link w:val="Heading4Char"/>
    <w:autoRedefine/>
    <w:uiPriority w:val="9"/>
    <w:unhideWhenUsed/>
    <w:qFormat/>
    <w:rsid w:val="005D6CF7"/>
    <w:pPr>
      <w:spacing w:before="120" w:after="120" w:line="240" w:lineRule="auto"/>
      <w:jc w:val="both"/>
      <w:outlineLvl w:val="3"/>
    </w:pPr>
    <w:rPr>
      <w:rFonts w:cs="Times New Roman"/>
      <w:b/>
      <w:bCs/>
      <w:kern w:val="0"/>
      <w14:ligatures w14:val="none"/>
    </w:rPr>
  </w:style>
  <w:style w:type="paragraph" w:styleId="Heading5">
    <w:name w:val="heading 5"/>
    <w:basedOn w:val="Normal"/>
    <w:next w:val="Normal"/>
    <w:link w:val="Heading5Char"/>
    <w:uiPriority w:val="9"/>
    <w:semiHidden/>
    <w:unhideWhenUsed/>
    <w:qFormat/>
    <w:rsid w:val="005D6CF7"/>
    <w:pPr>
      <w:keepNext/>
      <w:keepLines/>
      <w:spacing w:before="80" w:after="40"/>
      <w:outlineLvl w:val="4"/>
    </w:pPr>
    <w:rPr>
      <w:rFonts w:asciiTheme="minorHAnsi" w:eastAsiaTheme="majorEastAsia" w:hAnsiTheme="minorHAnsi" w:cstheme="majorBidi"/>
      <w:color w:val="D63C00" w:themeColor="accent1" w:themeShade="BF"/>
      <w:sz w:val="22"/>
      <w:szCs w:val="22"/>
    </w:rPr>
  </w:style>
  <w:style w:type="paragraph" w:styleId="Heading6">
    <w:name w:val="heading 6"/>
    <w:basedOn w:val="Normal"/>
    <w:next w:val="Normal"/>
    <w:link w:val="Heading6Char"/>
    <w:uiPriority w:val="9"/>
    <w:semiHidden/>
    <w:unhideWhenUsed/>
    <w:qFormat/>
    <w:rsid w:val="00604700"/>
    <w:pPr>
      <w:keepNext/>
      <w:keepLines/>
      <w:spacing w:before="40" w:after="0"/>
      <w:outlineLvl w:val="5"/>
    </w:pPr>
    <w:rPr>
      <w:rFonts w:eastAsiaTheme="majorEastAsia" w:cstheme="majorBidi"/>
      <w:i/>
      <w:iCs/>
      <w:color w:val="8FABB3" w:themeColor="text1" w:themeTint="A6"/>
    </w:rPr>
  </w:style>
  <w:style w:type="paragraph" w:styleId="Heading7">
    <w:name w:val="heading 7"/>
    <w:basedOn w:val="Normal"/>
    <w:next w:val="Normal"/>
    <w:link w:val="Heading7Char"/>
    <w:uiPriority w:val="9"/>
    <w:semiHidden/>
    <w:unhideWhenUsed/>
    <w:qFormat/>
    <w:rsid w:val="00604700"/>
    <w:pPr>
      <w:keepNext/>
      <w:keepLines/>
      <w:spacing w:before="40" w:after="0"/>
      <w:outlineLvl w:val="6"/>
    </w:pPr>
    <w:rPr>
      <w:rFonts w:eastAsiaTheme="majorEastAsia" w:cstheme="majorBidi"/>
      <w:color w:val="8FABB3" w:themeColor="text1" w:themeTint="A6"/>
    </w:rPr>
  </w:style>
  <w:style w:type="paragraph" w:styleId="Heading8">
    <w:name w:val="heading 8"/>
    <w:basedOn w:val="Normal"/>
    <w:next w:val="Normal"/>
    <w:link w:val="Heading8Char"/>
    <w:uiPriority w:val="9"/>
    <w:semiHidden/>
    <w:unhideWhenUsed/>
    <w:qFormat/>
    <w:rsid w:val="00604700"/>
    <w:pPr>
      <w:keepNext/>
      <w:keepLines/>
      <w:spacing w:after="0"/>
      <w:outlineLvl w:val="7"/>
    </w:pPr>
    <w:rPr>
      <w:rFonts w:eastAsiaTheme="majorEastAsia" w:cstheme="majorBidi"/>
      <w:i/>
      <w:iCs/>
      <w:color w:val="6D919C" w:themeColor="text1" w:themeTint="D8"/>
    </w:rPr>
  </w:style>
  <w:style w:type="paragraph" w:styleId="Heading9">
    <w:name w:val="heading 9"/>
    <w:basedOn w:val="Normal"/>
    <w:next w:val="Normal"/>
    <w:link w:val="Heading9Char"/>
    <w:uiPriority w:val="9"/>
    <w:semiHidden/>
    <w:unhideWhenUsed/>
    <w:qFormat/>
    <w:rsid w:val="00604700"/>
    <w:pPr>
      <w:keepNext/>
      <w:keepLines/>
      <w:spacing w:after="0"/>
      <w:outlineLvl w:val="8"/>
    </w:pPr>
    <w:rPr>
      <w:rFonts w:eastAsiaTheme="majorEastAsia" w:cstheme="majorBidi"/>
      <w:color w:val="6D919C"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D6CF7"/>
    <w:rPr>
      <w:rFonts w:ascii="Aptos Display" w:hAnsi="Aptos Display" w:cs="Times New Roman"/>
      <w:b/>
      <w:bCs/>
      <w:kern w:val="0"/>
      <w:sz w:val="24"/>
      <w:szCs w:val="24"/>
      <w14:ligatures w14:val="none"/>
    </w:rPr>
  </w:style>
  <w:style w:type="paragraph" w:styleId="ListParagraph">
    <w:name w:val="List Paragraph"/>
    <w:basedOn w:val="Normal"/>
    <w:uiPriority w:val="34"/>
    <w:qFormat/>
    <w:rsid w:val="00604700"/>
    <w:pPr>
      <w:ind w:left="720"/>
      <w:contextualSpacing/>
    </w:pPr>
  </w:style>
  <w:style w:type="character" w:customStyle="1" w:styleId="Heading1Char">
    <w:name w:val="Heading 1 Char"/>
    <w:basedOn w:val="DefaultParagraphFont"/>
    <w:link w:val="Heading1"/>
    <w:uiPriority w:val="9"/>
    <w:rsid w:val="005D6CF7"/>
    <w:rPr>
      <w:rFonts w:ascii="Aptos Display" w:eastAsiaTheme="majorEastAsia" w:hAnsi="Aptos Display" w:cstheme="majorBidi"/>
      <w:b/>
      <w:kern w:val="0"/>
      <w:sz w:val="40"/>
      <w:szCs w:val="40"/>
      <w14:ligatures w14:val="none"/>
    </w:rPr>
  </w:style>
  <w:style w:type="character" w:customStyle="1" w:styleId="Heading2Char">
    <w:name w:val="Heading 2 Char"/>
    <w:basedOn w:val="DefaultParagraphFont"/>
    <w:link w:val="Heading2"/>
    <w:uiPriority w:val="9"/>
    <w:rsid w:val="005D6CF7"/>
    <w:rPr>
      <w:rFonts w:ascii="Aptos Display" w:eastAsiaTheme="majorEastAsia" w:hAnsi="Aptos Display" w:cstheme="majorBidi"/>
      <w:kern w:val="0"/>
      <w:sz w:val="32"/>
      <w:szCs w:val="32"/>
      <w14:ligatures w14:val="none"/>
    </w:rPr>
  </w:style>
  <w:style w:type="character" w:customStyle="1" w:styleId="Heading3Char">
    <w:name w:val="Heading 3 Char"/>
    <w:basedOn w:val="DefaultParagraphFont"/>
    <w:link w:val="Heading3"/>
    <w:uiPriority w:val="9"/>
    <w:rsid w:val="005D6CF7"/>
    <w:rPr>
      <w:rFonts w:ascii="Aptos Display" w:eastAsiaTheme="majorEastAsia" w:hAnsi="Aptos Display" w:cstheme="majorBidi"/>
      <w:i/>
      <w:kern w:val="0"/>
      <w:sz w:val="28"/>
      <w:szCs w:val="28"/>
      <w14:ligatures w14:val="none"/>
    </w:rPr>
  </w:style>
  <w:style w:type="character" w:customStyle="1" w:styleId="Heading5Char">
    <w:name w:val="Heading 5 Char"/>
    <w:basedOn w:val="DefaultParagraphFont"/>
    <w:link w:val="Heading5"/>
    <w:uiPriority w:val="9"/>
    <w:semiHidden/>
    <w:rsid w:val="005D6CF7"/>
    <w:rPr>
      <w:rFonts w:eastAsiaTheme="majorEastAsia" w:cstheme="majorBidi"/>
      <w:color w:val="D63C00" w:themeColor="accent1" w:themeShade="BF"/>
    </w:rPr>
  </w:style>
  <w:style w:type="character" w:customStyle="1" w:styleId="Heading6Char">
    <w:name w:val="Heading 6 Char"/>
    <w:basedOn w:val="DefaultParagraphFont"/>
    <w:link w:val="Heading6"/>
    <w:uiPriority w:val="9"/>
    <w:semiHidden/>
    <w:rsid w:val="00604700"/>
    <w:rPr>
      <w:rFonts w:eastAsiaTheme="majorEastAsia" w:cstheme="majorBidi"/>
      <w:i/>
      <w:iCs/>
      <w:color w:val="8FABB3" w:themeColor="text1" w:themeTint="A6"/>
    </w:rPr>
  </w:style>
  <w:style w:type="character" w:customStyle="1" w:styleId="Heading7Char">
    <w:name w:val="Heading 7 Char"/>
    <w:basedOn w:val="DefaultParagraphFont"/>
    <w:link w:val="Heading7"/>
    <w:uiPriority w:val="9"/>
    <w:semiHidden/>
    <w:rsid w:val="00604700"/>
    <w:rPr>
      <w:rFonts w:eastAsiaTheme="majorEastAsia" w:cstheme="majorBidi"/>
      <w:color w:val="8FABB3" w:themeColor="text1" w:themeTint="A6"/>
    </w:rPr>
  </w:style>
  <w:style w:type="character" w:customStyle="1" w:styleId="Heading8Char">
    <w:name w:val="Heading 8 Char"/>
    <w:basedOn w:val="DefaultParagraphFont"/>
    <w:link w:val="Heading8"/>
    <w:uiPriority w:val="9"/>
    <w:semiHidden/>
    <w:rsid w:val="00604700"/>
    <w:rPr>
      <w:rFonts w:eastAsiaTheme="majorEastAsia" w:cstheme="majorBidi"/>
      <w:i/>
      <w:iCs/>
      <w:color w:val="6D919C" w:themeColor="text1" w:themeTint="D8"/>
    </w:rPr>
  </w:style>
  <w:style w:type="character" w:customStyle="1" w:styleId="Heading9Char">
    <w:name w:val="Heading 9 Char"/>
    <w:basedOn w:val="DefaultParagraphFont"/>
    <w:link w:val="Heading9"/>
    <w:uiPriority w:val="9"/>
    <w:semiHidden/>
    <w:rsid w:val="00604700"/>
    <w:rPr>
      <w:rFonts w:eastAsiaTheme="majorEastAsia" w:cstheme="majorBidi"/>
      <w:color w:val="6D919C" w:themeColor="text1" w:themeTint="D8"/>
    </w:rPr>
  </w:style>
  <w:style w:type="paragraph" w:styleId="Title">
    <w:name w:val="Title"/>
    <w:basedOn w:val="Normal"/>
    <w:next w:val="Normal"/>
    <w:link w:val="TitleChar"/>
    <w:uiPriority w:val="10"/>
    <w:qFormat/>
    <w:rsid w:val="00604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47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6CF7"/>
    <w:pPr>
      <w:numPr>
        <w:ilvl w:val="1"/>
      </w:numPr>
    </w:pPr>
    <w:rPr>
      <w:rFonts w:asciiTheme="minorHAnsi" w:eastAsiaTheme="majorEastAsia" w:hAnsiTheme="minorHAnsi" w:cstheme="majorBidi"/>
      <w:color w:val="8FABB3" w:themeColor="text1" w:themeTint="A6"/>
      <w:spacing w:val="15"/>
      <w:sz w:val="28"/>
      <w:szCs w:val="28"/>
    </w:rPr>
  </w:style>
  <w:style w:type="character" w:customStyle="1" w:styleId="SubtitleChar">
    <w:name w:val="Subtitle Char"/>
    <w:basedOn w:val="DefaultParagraphFont"/>
    <w:link w:val="Subtitle"/>
    <w:uiPriority w:val="11"/>
    <w:rsid w:val="005D6CF7"/>
    <w:rPr>
      <w:rFonts w:eastAsiaTheme="majorEastAsia" w:cstheme="majorBidi"/>
      <w:color w:val="8FABB3" w:themeColor="text1" w:themeTint="A6"/>
      <w:spacing w:val="15"/>
      <w:sz w:val="28"/>
      <w:szCs w:val="28"/>
    </w:rPr>
  </w:style>
  <w:style w:type="paragraph" w:styleId="Quote">
    <w:name w:val="Quote"/>
    <w:basedOn w:val="Normal"/>
    <w:next w:val="Normal"/>
    <w:link w:val="QuoteChar"/>
    <w:uiPriority w:val="29"/>
    <w:qFormat/>
    <w:rsid w:val="005D6CF7"/>
    <w:pPr>
      <w:spacing w:before="160"/>
      <w:jc w:val="center"/>
    </w:pPr>
    <w:rPr>
      <w:rFonts w:asciiTheme="minorHAnsi" w:hAnsiTheme="minorHAnsi"/>
      <w:i/>
      <w:iCs/>
      <w:color w:val="7E9EA8" w:themeColor="text1" w:themeTint="BF"/>
      <w:sz w:val="22"/>
      <w:szCs w:val="22"/>
    </w:rPr>
  </w:style>
  <w:style w:type="character" w:customStyle="1" w:styleId="QuoteChar">
    <w:name w:val="Quote Char"/>
    <w:basedOn w:val="DefaultParagraphFont"/>
    <w:link w:val="Quote"/>
    <w:uiPriority w:val="29"/>
    <w:rsid w:val="005D6CF7"/>
    <w:rPr>
      <w:i/>
      <w:iCs/>
      <w:color w:val="7E9EA8" w:themeColor="text1" w:themeTint="BF"/>
    </w:rPr>
  </w:style>
  <w:style w:type="paragraph" w:styleId="IntenseQuote">
    <w:name w:val="Intense Quote"/>
    <w:basedOn w:val="Normal"/>
    <w:next w:val="Normal"/>
    <w:link w:val="IntenseQuoteChar"/>
    <w:uiPriority w:val="30"/>
    <w:qFormat/>
    <w:rsid w:val="005D6CF7"/>
    <w:pPr>
      <w:pBdr>
        <w:top w:val="single" w:sz="4" w:space="10" w:color="D63C00" w:themeColor="accent1" w:themeShade="BF"/>
        <w:bottom w:val="single" w:sz="4" w:space="10" w:color="D63C00" w:themeColor="accent1" w:themeShade="BF"/>
      </w:pBdr>
      <w:spacing w:before="360" w:after="360"/>
      <w:ind w:left="864" w:right="864"/>
      <w:jc w:val="center"/>
    </w:pPr>
    <w:rPr>
      <w:rFonts w:asciiTheme="minorHAnsi" w:hAnsiTheme="minorHAnsi"/>
      <w:i/>
      <w:iCs/>
      <w:color w:val="D63C00" w:themeColor="accent1" w:themeShade="BF"/>
      <w:sz w:val="22"/>
      <w:szCs w:val="22"/>
    </w:rPr>
  </w:style>
  <w:style w:type="character" w:customStyle="1" w:styleId="IntenseQuoteChar">
    <w:name w:val="Intense Quote Char"/>
    <w:basedOn w:val="DefaultParagraphFont"/>
    <w:link w:val="IntenseQuote"/>
    <w:uiPriority w:val="30"/>
    <w:rsid w:val="005D6CF7"/>
    <w:rPr>
      <w:i/>
      <w:iCs/>
      <w:color w:val="D63C00" w:themeColor="accent1" w:themeShade="BF"/>
    </w:rPr>
  </w:style>
  <w:style w:type="character" w:styleId="IntenseEmphasis">
    <w:name w:val="Intense Emphasis"/>
    <w:basedOn w:val="DefaultParagraphFont"/>
    <w:uiPriority w:val="21"/>
    <w:qFormat/>
    <w:rsid w:val="005D6CF7"/>
    <w:rPr>
      <w:rFonts w:ascii="Aptos Display" w:hAnsi="Aptos Display"/>
      <w:i/>
      <w:iCs/>
      <w:color w:val="D63C00" w:themeColor="accent1" w:themeShade="BF"/>
    </w:rPr>
  </w:style>
  <w:style w:type="character" w:styleId="IntenseReference">
    <w:name w:val="Intense Reference"/>
    <w:basedOn w:val="DefaultParagraphFont"/>
    <w:uiPriority w:val="32"/>
    <w:qFormat/>
    <w:rsid w:val="00604700"/>
    <w:rPr>
      <w:b/>
      <w:bCs/>
      <w:smallCaps/>
      <w:color w:val="D63C00" w:themeColor="accent1" w:themeShade="BF"/>
      <w:spacing w:val="5"/>
    </w:rPr>
  </w:style>
  <w:style w:type="paragraph" w:styleId="NoSpacing">
    <w:name w:val="No Spacing"/>
    <w:uiPriority w:val="1"/>
    <w:qFormat/>
    <w:rsid w:val="005D6CF7"/>
    <w:pPr>
      <w:spacing w:after="0" w:line="240" w:lineRule="auto"/>
    </w:pPr>
    <w:rPr>
      <w:rFonts w:ascii="Aptos Display" w:hAnsi="Aptos Display"/>
      <w:sz w:val="24"/>
      <w:szCs w:val="24"/>
    </w:rPr>
  </w:style>
  <w:style w:type="character" w:styleId="SubtleEmphasis">
    <w:name w:val="Subtle Emphasis"/>
    <w:basedOn w:val="DefaultParagraphFont"/>
    <w:uiPriority w:val="19"/>
    <w:qFormat/>
    <w:rsid w:val="005D6CF7"/>
    <w:rPr>
      <w:rFonts w:ascii="Aptos Display" w:hAnsi="Aptos Display"/>
      <w:i/>
      <w:iCs/>
      <w:color w:val="7E9EA8" w:themeColor="text1" w:themeTint="BF"/>
    </w:rPr>
  </w:style>
  <w:style w:type="character" w:styleId="Emphasis">
    <w:name w:val="Emphasis"/>
    <w:basedOn w:val="DefaultParagraphFont"/>
    <w:uiPriority w:val="20"/>
    <w:qFormat/>
    <w:rsid w:val="005D6CF7"/>
    <w:rPr>
      <w:rFonts w:ascii="Aptos Display" w:hAnsi="Aptos Display"/>
      <w:i/>
      <w:iCs/>
    </w:rPr>
  </w:style>
  <w:style w:type="character" w:styleId="Strong">
    <w:name w:val="Strong"/>
    <w:basedOn w:val="DefaultParagraphFont"/>
    <w:uiPriority w:val="22"/>
    <w:qFormat/>
    <w:rsid w:val="005D6CF7"/>
    <w:rPr>
      <w:rFonts w:ascii="Aptos Display" w:hAnsi="Aptos Display"/>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HtH">
  <a:themeElements>
    <a:clrScheme name="HtoH">
      <a:dk1>
        <a:srgbClr val="5A7B85"/>
      </a:dk1>
      <a:lt1>
        <a:srgbClr val="F6F3EE"/>
      </a:lt1>
      <a:dk2>
        <a:srgbClr val="FFFFFF"/>
      </a:dk2>
      <a:lt2>
        <a:srgbClr val="81A0AA"/>
      </a:lt2>
      <a:accent1>
        <a:srgbClr val="FF5F1F"/>
      </a:accent1>
      <a:accent2>
        <a:srgbClr val="FF9432"/>
      </a:accent2>
      <a:accent3>
        <a:srgbClr val="CB9661"/>
      </a:accent3>
      <a:accent4>
        <a:srgbClr val="3399FF"/>
      </a:accent4>
      <a:accent5>
        <a:srgbClr val="00FFFF"/>
      </a:accent5>
      <a:accent6>
        <a:srgbClr val="339933"/>
      </a:accent6>
      <a:hlink>
        <a:srgbClr val="66CCFF"/>
      </a:hlink>
      <a:folHlink>
        <a:srgbClr val="003399"/>
      </a:folHlink>
    </a:clrScheme>
    <a:fontScheme name="How to Hospitality">
      <a:majorFont>
        <a:latin typeface="Nordique Inline"/>
        <a:ea typeface=""/>
        <a:cs typeface=""/>
      </a:majorFont>
      <a:minorFont>
        <a:latin typeface="Avenir Next LT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THC" id="{FA8D55C1-4C19-4A17-BA67-3DC6386A38EA}" vid="{F7435869-2EB0-4FAD-B8EA-0AAC7BCFBD3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1767</Words>
  <Characters>10076</Characters>
  <Application>Microsoft Office Word</Application>
  <DocSecurity>0</DocSecurity>
  <Lines>83</Lines>
  <Paragraphs>23</Paragraphs>
  <ScaleCrop>false</ScaleCrop>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Burton-Howat</dc:creator>
  <cp:keywords/>
  <dc:description/>
  <cp:lastModifiedBy>Nicholas Burton-Howat</cp:lastModifiedBy>
  <cp:revision>6</cp:revision>
  <dcterms:created xsi:type="dcterms:W3CDTF">2025-11-11T16:53:00Z</dcterms:created>
  <dcterms:modified xsi:type="dcterms:W3CDTF">2025-11-11T16:59:00Z</dcterms:modified>
</cp:coreProperties>
</file>